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97C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center"/>
        <w:rPr>
          <w:rFonts w:hint="eastAsia" w:ascii="方正小标宋简体" w:hAnsi="方正小标宋简体" w:eastAsia="方正小标宋简体" w:cs="方正小标宋简体"/>
          <w:i w:val="0"/>
          <w:iCs w:val="0"/>
          <w:caps w:val="0"/>
          <w:color w:val="333333"/>
          <w:spacing w:val="0"/>
          <w:sz w:val="36"/>
          <w:szCs w:val="36"/>
          <w:bdr w:val="none" w:color="auto" w:sz="0" w:space="0"/>
          <w:shd w:val="clear" w:fill="FFFFFF"/>
        </w:rPr>
      </w:pPr>
      <w:r>
        <w:rPr>
          <w:rFonts w:hint="eastAsia" w:ascii="方正小标宋简体" w:hAnsi="方正小标宋简体" w:eastAsia="方正小标宋简体" w:cs="方正小标宋简体"/>
          <w:i w:val="0"/>
          <w:iCs w:val="0"/>
          <w:caps w:val="0"/>
          <w:color w:val="333333"/>
          <w:spacing w:val="0"/>
          <w:sz w:val="36"/>
          <w:szCs w:val="36"/>
          <w:bdr w:val="none" w:color="auto" w:sz="0" w:space="0"/>
          <w:shd w:val="clear" w:fill="FFFFFF"/>
        </w:rPr>
        <w:t>《教育强国建设规划纲要（2024—2035年）》</w:t>
      </w:r>
    </w:p>
    <w:p w14:paraId="5BD21E9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为深入贯彻党的二十大关于加快建设教育强国的战略部署，制定本规划纲要。</w:t>
      </w:r>
    </w:p>
    <w:p w14:paraId="322C1A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一、总体要求</w:t>
      </w:r>
    </w:p>
    <w:p w14:paraId="73C8A1C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坚持以习近平新时代中国特色社会主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14:paraId="7516FC3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工作中要做到：坚持党对教育事业的全面领导，突出促</w:t>
      </w:r>
      <w:bookmarkStart w:id="0" w:name="_GoBack"/>
      <w:bookmarkEnd w:id="0"/>
      <w:r>
        <w:rPr>
          <w:rFonts w:hint="eastAsia" w:ascii="微软雅黑" w:hAnsi="微软雅黑" w:eastAsia="微软雅黑" w:cs="微软雅黑"/>
          <w:i w:val="0"/>
          <w:iCs w:val="0"/>
          <w:caps w:val="0"/>
          <w:color w:val="333333"/>
          <w:spacing w:val="0"/>
          <w:sz w:val="28"/>
          <w:szCs w:val="28"/>
          <w:bdr w:val="none" w:color="auto" w:sz="0" w:space="0"/>
          <w:shd w:val="clear" w:fill="FFFFFF"/>
        </w:rPr>
        <w:t>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14:paraId="6A00473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14:paraId="1D5F68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二、塑造立德树人新格局，培养担当民族复兴大任的时代新人</w:t>
      </w:r>
    </w:p>
    <w:p w14:paraId="2CCA0F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一）加强和改进新时代学校思想政治教育。坚持不懈用习近平新时代中国特色社会主义思想铸魂育人，加强习近平总书记关于教育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14:paraId="29F506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14:paraId="24447C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14:paraId="371F1C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14:paraId="463632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数字化转型。完善教材管理体制，健全国家、地方、学校、出版单位分级分类负责机制。完善教材建设相关表彰奖励制度。规范教辅材料和课外读物管理。</w:t>
      </w:r>
    </w:p>
    <w:p w14:paraId="7AFF4D3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14:paraId="74EFC9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三、办强办优基础教育，夯实全面提升国民素质战略基点</w:t>
      </w:r>
    </w:p>
    <w:p w14:paraId="6E2930F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14:paraId="2BE17D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八）推动义务教育优质均衡发展和城乡一体化。加强义务教育学校标准化建设，逐步缩小城乡、区域、校际、群体差距。促进学校优秀领导人员和骨干教师区域内统筹调配、交流轮岗。有序推进小班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14:paraId="111FFBA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14:paraId="7E804C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14:paraId="5875574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四、增强高等教育综合实力，打造战略引领力量</w:t>
      </w:r>
    </w:p>
    <w:p w14:paraId="5EC8D2D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一）分类推进高校改革发展。实施高等教育综合改革试点。按照研究型、应用型、技能型等基本办学定位，区分综合性、特色化基本方向，明确各类高校发展定位，支持理工农医、人文社科、艺术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14:paraId="62E6B2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14:paraId="64FFD85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14:paraId="339BC63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四）完善拔尖创新人才发现和培养机制。着力加强创新能力培养，面向中小学生实施科学素养培育“沃土计划”；面向具有创新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14:paraId="26D31B8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五）构建中国哲学社会科学自主知识体系。聚焦中国式现代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14:paraId="69C6B3F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五、培育壮大国家战略科技力量，有力支撑高水平科技自立自强</w:t>
      </w:r>
    </w:p>
    <w:p w14:paraId="27E3BA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14:paraId="20FF30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（十七）促进青年科技人才成长发展。大力弘扬科学家精神，营造鼓励探索、宽容失败的良好环境。培养造就一批高水平师资和学术大师。</w:t>
      </w:r>
    </w:p>
    <w:p w14:paraId="036D487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14:paraId="68CBFB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14:paraId="6726C10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六、加快建设现代职业教育体系，培养大国工匠、能工巧匠、高技能人才</w:t>
      </w:r>
    </w:p>
    <w:p w14:paraId="437C1AD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14:paraId="2D3F3EE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14:paraId="0751340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14:paraId="7C9B04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14:paraId="70C6BC5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七、建设学习型社会，以教育数字化开辟发展新赛道、塑造发展新优势</w:t>
      </w:r>
    </w:p>
    <w:p w14:paraId="591F1F7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四）提升终身学习公共服务水平。构建以资历框架为基础、以学分银行为平台、以学习成果认证为重点的终身学习制度。加强教育资源共享和公共服务平台建设，建设学习型城市、学习型社区，完善国家开放大学体系，建好国家老年大学。加强学习型社会数字基础设施建设，建好国家数字大学。完善和加强继续教育、自学考试、非学历教育等制度保障，建设人人皆学、处处能学、时时可学的学习型社会。</w:t>
      </w:r>
    </w:p>
    <w:p w14:paraId="4EC060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14:paraId="1561F4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14:paraId="1A55E5D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八、建设高素质专业化教师队伍，筑牢教育强国根基</w:t>
      </w:r>
    </w:p>
    <w:p w14:paraId="35C4C4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七）实施教育家精神铸魂强师行动。推动教育家精神融入教师培养培训全过程，贯穿课堂教学、科学研究、社会实践各环节，构建日常浸润、项目赋能、平台支撑的教师发展良好生态。加强教师队伍思想政治工作，加强教师党组织建设，发挥党员教师先锋模范作用。坚持师德师风第一标准，健全师德师风建设长效机制，严格落实师德失范“零容忍”。</w:t>
      </w:r>
    </w:p>
    <w:p w14:paraId="1715DF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14:paraId="496935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14:paraId="2493B78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策，做好教师荣休工作。加大优秀教师选树表彰和宣传力度，让教师享有崇高社会声望、成为最受社会尊重的职业之一。</w:t>
      </w:r>
    </w:p>
    <w:p w14:paraId="6CEFC2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九、深化教育综合改革，激发教育发展活力</w:t>
      </w:r>
    </w:p>
    <w:p w14:paraId="637F94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14:paraId="557BD1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14:paraId="4B71EE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14:paraId="3B9FA6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14:paraId="0C05CC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五）构建教育科技人才一体统筹推进机制。加强主管部门定期会商，共同做好政策协调、项目统筹、资源配置。完善科教协同育人机制，加强创新资源统筹和力量组织。强化教育对科技和人才的支撑作用，教育布局和改革试点紧密对接北京、上海、粤港澳大湾区等国际科技创新中心建设，对接区域科技创新中心建设、国家高水平人才高地和吸引集聚人才平台建设，提升国家创新体系整体效能。</w:t>
      </w:r>
    </w:p>
    <w:p w14:paraId="3A0AF3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十、完善教育对外开放战略策略，建设具有全球影响力的重要教育中心</w:t>
      </w:r>
    </w:p>
    <w:p w14:paraId="528086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14:paraId="13CF503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14:paraId="36EAC0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14:paraId="0AB563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w:t>
      </w:r>
      <w:r>
        <w:rPr>
          <w:rStyle w:val="7"/>
          <w:rFonts w:hint="eastAsia" w:ascii="微软雅黑" w:hAnsi="微软雅黑" w:eastAsia="微软雅黑" w:cs="微软雅黑"/>
          <w:i w:val="0"/>
          <w:iCs w:val="0"/>
          <w:caps w:val="0"/>
          <w:color w:val="333333"/>
          <w:spacing w:val="0"/>
          <w:sz w:val="28"/>
          <w:szCs w:val="28"/>
          <w:bdr w:val="none" w:color="auto" w:sz="0" w:space="0"/>
          <w:shd w:val="clear" w:fill="FFFFFF"/>
        </w:rPr>
        <w:t>十一、加强组织实施</w:t>
      </w:r>
    </w:p>
    <w:p w14:paraId="3C281E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15" w:lineRule="atLeast"/>
        <w:ind w:left="0" w:right="0" w:firstLine="0"/>
        <w:jc w:val="both"/>
        <w:rPr>
          <w:rFonts w:hint="eastAsia"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　　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p>
    <w:p w14:paraId="02BA3223"/>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1848EA1A-471D-40EB-96BE-C63401181E19}"/>
  </w:font>
  <w:font w:name="幼圆">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2C0554B2-19D1-4A51-B3C4-4BEE01C9B9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6A29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DC674A">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4DC674A">
                    <w:pPr>
                      <w:pStyle w:val="2"/>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E0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2025-02-28T08:32:50Z</dcterms:created>
  <dc:creator>DELL</dc:creator>
  <cp:lastModifiedBy>王凯</cp:lastModifiedBy>
  <dcterms:modified xsi:type="dcterms:W3CDTF">2025-02-28T08:33:36Z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eyJoZGlkIjoiZTVmNWRkZTMyMDc5NTdmOTFiYzE4YmYyMTE2NjY0OGYiLCJ1c2VySWQiOiIyODIzMTIwNDkifQ==</vt:lpwstr>
  </property>
  <property fmtid="{D5CDD505-2E9C-101B-9397-08002B2CF9AE}" pid="4" name="ICV">
    <vt:lpwstr>EF67587AE5194C91B7A26C2F97BD16E5_12</vt:lpwstr>
  </property>
</Properties>
</file>